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01668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016689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a42b472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a42b472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80121c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南银理财鼎瑞安稳一年定开2025第26期公募人民币理财产品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ZZ700322500307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Z7003225000360(投资者可依据该编码在中国理财网www.chinawealth.com.cn查询理财产品相关信息）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A份额：Z30036</w:t>
            </w:r>
          </w:p>
          <w:p>
            <w:pPr>
              <w:pStyle w:val="null10"/>
              <w:spacing w:lineRule="exact" w:line="200"/>
            </w:pPr>
            <w:r>
              <w:rPr>
                <w:rFonts w:ascii="方正黑体_GBK" w:hAnsi="方正黑体_GBK" w:cs="宋体" w:eastAsia="方正黑体_GBK"/>
                <w:sz w:val="18"/>
                <w:szCs w:val="18"/>
              </w:rPr>
              <w:t>B份额：ZB30036</w:t>
            </w:r>
          </w:p>
          <w:p>
            <w:pPr>
              <w:pStyle w:val="null10"/>
              <w:spacing w:lineRule="exact" w:line="200"/>
            </w:pPr>
            <w:r>
              <w:rPr>
                <w:rFonts w:ascii="方正黑体_GBK" w:hAnsi="方正黑体_GBK" w:cs="宋体" w:eastAsia="方正黑体_GBK"/>
                <w:sz w:val="18"/>
                <w:szCs w:val="18"/>
              </w:rPr>
              <w:t>C份额：ZC30036</w:t>
            </w:r>
          </w:p>
          <w:p>
            <w:pPr>
              <w:pStyle w:val="null10"/>
              <w:spacing w:lineRule="exact" w:line="200"/>
            </w:pPr>
            <w:r>
              <w:rPr>
                <w:rFonts w:ascii="方正黑体_GBK" w:hAnsi="方正黑体_GBK" w:cs="宋体" w:eastAsia="方正黑体_GBK"/>
                <w:sz w:val="18"/>
                <w:szCs w:val="18"/>
              </w:rPr>
              <w:t>D份额：ZD30036</w:t>
            </w:r>
          </w:p>
          <w:p>
            <w:pPr>
              <w:pStyle w:val="null10"/>
              <w:spacing w:lineRule="exact" w:line="200"/>
            </w:pPr>
            <w:r>
              <w:rPr>
                <w:rFonts w:ascii="方正黑体_GBK" w:hAnsi="方正黑体_GBK" w:cs="宋体" w:eastAsia="方正黑体_GBK"/>
                <w:sz w:val="18"/>
                <w:szCs w:val="18"/>
              </w:rPr>
              <w:t>E份额：ZE30036</w:t>
            </w:r>
          </w:p>
          <w:p>
            <w:pPr>
              <w:pStyle w:val="null10"/>
              <w:spacing w:lineRule="exact" w:line="200"/>
            </w:pPr>
            <w:r>
              <w:rPr>
                <w:rFonts w:ascii="方正黑体_GBK" w:hAnsi="方正黑体_GBK" w:cs="宋体" w:eastAsia="方正黑体_GBK"/>
                <w:sz w:val="18"/>
                <w:szCs w:val="18"/>
              </w:rPr>
              <w:t>F份额：ZF30036</w:t>
            </w:r>
          </w:p>
          <w:p>
            <w:pPr>
              <w:pStyle w:val="null10"/>
              <w:spacing w:lineRule="exact" w:line="200"/>
            </w:pPr>
            <w:r>
              <w:rPr>
                <w:rFonts w:ascii="方正黑体_GBK" w:hAnsi="方正黑体_GBK" w:cs="宋体" w:eastAsia="方正黑体_GBK"/>
                <w:sz w:val="18"/>
                <w:szCs w:val="18"/>
              </w:rPr>
              <w:t>G份额：ZG30036</w:t>
            </w:r>
          </w:p>
          <w:p>
            <w:pPr>
              <w:pStyle w:val="null10"/>
              <w:spacing w:lineRule="exact" w:line="200"/>
            </w:pPr>
            <w:r>
              <w:rPr>
                <w:rFonts w:ascii="方正黑体_GBK" w:hAnsi="方正黑体_GBK" w:cs="宋体" w:eastAsia="方正黑体_GBK"/>
                <w:sz w:val="18"/>
                <w:szCs w:val="18"/>
              </w:rPr>
              <w:t>M份额：ZM30036</w:t>
            </w:r>
          </w:p>
          <w:p>
            <w:pPr>
              <w:pStyle w:val="null10"/>
              <w:spacing w:lineRule="exact" w:line="200"/>
            </w:pPr>
            <w:r>
              <w:rPr>
                <w:rFonts w:ascii="方正黑体_GBK" w:hAnsi="方正黑体_GBK" w:cs="宋体" w:eastAsia="方正黑体_GBK"/>
                <w:sz w:val="18"/>
                <w:szCs w:val="18"/>
              </w:rPr>
              <w:t>N份额：ZN30036</w:t>
            </w:r>
          </w:p>
          <w:p>
            <w:pPr>
              <w:pStyle w:val="null10"/>
              <w:spacing w:lineRule="exact" w:line="200"/>
            </w:pPr>
            <w:r>
              <w:rPr>
                <w:rFonts w:ascii="方正黑体_GBK" w:hAnsi="方正黑体_GBK" w:cs="宋体" w:eastAsia="方正黑体_GBK"/>
                <w:sz w:val="18"/>
                <w:szCs w:val="18"/>
              </w:rPr>
              <w:t>Q份额：ZQ30036</w:t>
            </w:r>
          </w:p>
          <w:p>
            <w:pPr>
              <w:pStyle w:val="null10"/>
              <w:spacing w:lineRule="exact" w:line="200"/>
            </w:pPr>
            <w:r>
              <w:rPr>
                <w:rFonts w:ascii="方正黑体_GBK" w:hAnsi="方正黑体_GBK" w:cs="宋体" w:eastAsia="方正黑体_GBK"/>
                <w:sz w:val="18"/>
                <w:szCs w:val="18"/>
              </w:rPr>
              <w:t>R份额：ZR30036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A份额：南京银行股份有限公司、南银理财有限责任公司客户。</w:t>
            </w:r>
          </w:p>
          <w:p>
            <w:pPr>
              <w:pStyle w:val="null10"/>
              <w:spacing w:lineRule="exact" w:line="200"/>
            </w:pPr>
            <w:r>
              <w:rPr>
                <w:rFonts w:ascii="方正黑体_GBK" w:hAnsi="方正黑体_GBK" w:cs="宋体" w:eastAsia="方正黑体_GBK"/>
                <w:sz w:val="18"/>
                <w:szCs w:val="18"/>
              </w:rPr>
              <w:t>B份额：江苏常熟农村商业银行股份有限公司、江苏苏州农村商业银行股份有限公司、潍坊银行股份有限公司、泰安银行股份有限公司、齐鲁银行股份有限公司、贵阳银行股份有限公司、天津农村商业银行股份有限公司（大众客群）、云南红塔银行股份有限公司（代发客户）、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客户、江苏海门农村商业银行股份有限公司客户。</w:t>
            </w:r>
          </w:p>
          <w:p>
            <w:pPr>
              <w:pStyle w:val="null10"/>
              <w:spacing w:lineRule="exact" w:line="200"/>
            </w:pPr>
            <w:r>
              <w:rPr>
                <w:rFonts w:ascii="方正黑体_GBK" w:hAnsi="方正黑体_GBK" w:cs="宋体" w:eastAsia="方正黑体_GBK"/>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w:t>
            </w:r>
          </w:p>
          <w:p>
            <w:pPr>
              <w:pStyle w:val="null10"/>
              <w:spacing w:lineRule="exact" w:line="200"/>
            </w:pPr>
            <w:r>
              <w:rPr>
                <w:rFonts w:ascii="方正黑体_GBK" w:hAnsi="方正黑体_GBK" w:cs="宋体" w:eastAsia="方正黑体_GBK"/>
                <w:sz w:val="18"/>
                <w:szCs w:val="18"/>
              </w:rPr>
              <w:t>D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江苏海安农村商业银行股份有限公司客户。</w:t>
            </w:r>
          </w:p>
          <w:p>
            <w:pPr>
              <w:pStyle w:val="null10"/>
              <w:spacing w:lineRule="exact" w:line="200"/>
            </w:pPr>
            <w:r>
              <w:rPr>
                <w:rFonts w:ascii="方正黑体_GBK" w:hAnsi="方正黑体_GBK" w:cs="宋体" w:eastAsia="方正黑体_GBK"/>
                <w:sz w:val="18"/>
                <w:szCs w:val="18"/>
              </w:rPr>
              <w:t>E份额：天津农村商业银行股份有限公司（特邀客户）、云南红塔银行股份有限公司（财富300万客户）、甘肃银行股份有限公司（教师节特供）、桂林银行股份有限公司、天津农村商业银行股份有限公司（特邀客户）、云南红塔银行股份有限公司（财富300万客户）、甘肃银行股份有限公司（教师节特供）、江苏镇江农村商业银行股份有限公司（100万元起购）、江苏射阳农村商业银行股份有限公司、江苏句容农村商业银行股份有限公司、江苏沛县农村商业银行股份有限公司（高端客户专属）客户。</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G份额：成都银行股份有限公司客户。</w:t>
            </w:r>
          </w:p>
          <w:p>
            <w:pPr>
              <w:pStyle w:val="null10"/>
              <w:spacing w:lineRule="exact" w:line="200"/>
            </w:pPr>
            <w:r>
              <w:rPr>
                <w:rFonts w:ascii="方正黑体_GBK" w:hAnsi="方正黑体_GBK" w:cs="宋体" w:eastAsia="方正黑体_GBK"/>
                <w:sz w:val="18"/>
                <w:szCs w:val="18"/>
              </w:rPr>
              <w:t>M份额：苏州银行股份有限公司、嘉兴银行股份有限公司、宁波通商银行股份有限公司客户。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N份额：苏州银行股份有限公司（代发与新资金专属）客户。</w:t>
            </w:r>
          </w:p>
          <w:p>
            <w:pPr>
              <w:pStyle w:val="null10"/>
              <w:spacing w:lineRule="exact" w:line="200"/>
            </w:pPr>
            <w:r>
              <w:rPr>
                <w:rFonts w:ascii="方正黑体_GBK" w:hAnsi="方正黑体_GBK" w:cs="宋体" w:eastAsia="方正黑体_GBK"/>
                <w:sz w:val="18"/>
                <w:szCs w:val="18"/>
              </w:rPr>
              <w:t>Q份额：台州银行股份有限公司所有客户。</w:t>
            </w:r>
          </w:p>
          <w:p>
            <w:pPr>
              <w:pStyle w:val="null10"/>
              <w:spacing w:lineRule="exact" w:line="200"/>
            </w:pPr>
            <w:r>
              <w:rPr>
                <w:rFonts w:ascii="方正黑体_GBK" w:hAnsi="方正黑体_GBK" w:cs="宋体" w:eastAsia="方正黑体_GBK"/>
                <w:sz w:val="18"/>
                <w:szCs w:val="18"/>
              </w:rPr>
              <w:t>R份额：台州银行股份有限公司白名单客户。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A份额/B份额/C份额/D份额/E份额/F份额/G份额/M份额/N份额/Q份额/R份额：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2025年10月30日 09:00—2025年11月05日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本理财产品每期封闭期为一年，当期封闭期起止时间以信息披露为准</w:t>
            </w:r>
            <w:r>
              <w:rPr>
                <w:rFonts w:ascii="方正黑体_GBK" w:hAnsi="方正黑体_GBK" w:cs="宋体" w:eastAsia="方正黑体_GBK"/>
                <w:sz w:val="18"/>
                <w:color w:val="000000"/>
                <w:szCs w:val="18"/>
              </w:rPr>
              <w:t>。</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2025年11月06日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2025年11月06日—实际到期日（若本理财产品未被提前终止或延期终止，则实际到期日即为名义到期日，存续期限10年；若本理财产品被提前终止或延期终止，则实际到期日为提前终止日或延期终止日。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hd w:fill="FFFFFF" w:val="clear"/>
                <w:szCs w:val="18"/>
              </w:rPr>
              <w:t>A份额/F份额/Q份额/R份额：募集期为2025年10月30日9：00至2025年11月5日17：00；下一个开放期为2026年11月12日9：00至2026年11月18日17：00，投资者可以提交或撤销申购/赎回申请。</w:t>
            </w:r>
          </w:p>
          <w:p>
            <w:pPr>
              <w:pStyle w:val="null10"/>
              <w:spacing w:lineRule="exact" w:line="200"/>
              <w:jc w:val="left"/>
            </w:pPr>
            <w:r>
              <w:rPr>
                <w:rFonts w:ascii="方正黑体_GBK" w:hAnsi="方正黑体_GBK" w:cs="宋体" w:eastAsia="方正黑体_GBK"/>
                <w:sz w:val="18"/>
                <w:color w:val="000000"/>
                <w:shd w:fill="FFFFFF" w:val="clear"/>
                <w:szCs w:val="18"/>
              </w:rPr>
              <w:t>B份额/C份额/D份额/E份额/G份额/M份额/N份额：募集期为2025年10月30日9：00至2025年11月5日17：00；确认成功的份额均将于下一个开放期（2026年11月12日9：00至2026年11月18日17：00）由系统自动发起赎回申请。</w:t>
            </w:r>
          </w:p>
          <w:p>
            <w:pPr>
              <w:pStyle w:val="null10"/>
              <w:spacing w:lineRule="exact" w:line="200"/>
              <w:jc w:val="left"/>
            </w:pPr>
            <w:r>
              <w:rPr>
                <w:rFonts w:ascii="方正黑体_GBK" w:hAnsi="方正黑体_GBK" w:cs="宋体" w:eastAsia="方正黑体_GBK"/>
                <w:sz w:val="18"/>
                <w:color w:val="000000"/>
                <w:shd w:fill="FFFFFF" w:val="clear"/>
                <w:szCs w:val="18"/>
              </w:rPr>
              <w:t>产品开放期如有调整以管理人公告为准。</w:t>
            </w:r>
          </w:p>
          <w:p>
            <w:pPr>
              <w:pStyle w:val="null10"/>
              <w:spacing w:lineRule="exact" w:line="200"/>
              <w:jc w:val="left"/>
            </w:pPr>
            <w:r>
              <w:rPr>
                <w:rFonts w:ascii="方正黑体_GBK" w:hAnsi="方正黑体_GBK" w:cs="宋体" w:eastAsia="方正黑体_GBK"/>
                <w:sz w:val="18"/>
                <w:color w:val="000000"/>
                <w:shd w:fill="FFFFFF" w:val="clear"/>
                <w:szCs w:val="18"/>
              </w:rPr>
              <w:t>在销售机构支持的前提下，认购/申购/赎回开放期末日17:00前可以撤销申请。</w:t>
            </w:r>
          </w:p>
          <w:p>
            <w:pPr>
              <w:pStyle w:val="null10"/>
              <w:spacing w:lineRule="exact" w:line="200"/>
              <w:jc w:val="left"/>
            </w:pPr>
            <w:r>
              <w:rPr>
                <w:rFonts w:ascii="方正黑体_GBK" w:hAnsi="方正黑体_GBK" w:cs="宋体" w:eastAsia="方正黑体_GBK"/>
                <w:sz w:val="18"/>
                <w:color w:val="000000"/>
                <w:shd w:fill="FFFFFF" w:val="clear"/>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A份额：业绩比较基准为年化2.6%-3% 。</w:t>
            </w:r>
          </w:p>
          <w:p>
            <w:pPr>
              <w:pStyle w:val="null10"/>
              <w:spacing w:lineRule="exact" w:line="200"/>
            </w:pPr>
            <w:r>
              <w:rPr>
                <w:rFonts w:ascii="方正黑体_GBK" w:hAnsi="方正黑体_GBK" w:cs="宋体" w:eastAsia="方正黑体_GBK"/>
                <w:sz w:val="18"/>
                <w:szCs w:val="18"/>
              </w:rPr>
              <w:t>B份额：业绩比较基准为年化2.6%-3% 。</w:t>
            </w:r>
          </w:p>
          <w:p>
            <w:pPr>
              <w:pStyle w:val="null10"/>
              <w:spacing w:lineRule="exact" w:line="200"/>
            </w:pPr>
            <w:r>
              <w:rPr>
                <w:rFonts w:ascii="方正黑体_GBK" w:hAnsi="方正黑体_GBK" w:cs="宋体" w:eastAsia="方正黑体_GBK"/>
                <w:sz w:val="18"/>
                <w:szCs w:val="18"/>
              </w:rPr>
              <w:t>C份额：业绩比较基准为年化2.65%-3.05% 。</w:t>
            </w:r>
          </w:p>
          <w:p>
            <w:pPr>
              <w:pStyle w:val="null10"/>
              <w:spacing w:lineRule="exact" w:line="200"/>
            </w:pPr>
            <w:r>
              <w:rPr>
                <w:rFonts w:ascii="方正黑体_GBK" w:hAnsi="方正黑体_GBK" w:cs="宋体" w:eastAsia="方正黑体_GBK"/>
                <w:sz w:val="18"/>
                <w:szCs w:val="18"/>
              </w:rPr>
              <w:t>D份额：业绩比较基准为年化2.7%-3.1% 。</w:t>
            </w:r>
          </w:p>
          <w:p>
            <w:pPr>
              <w:pStyle w:val="null10"/>
              <w:spacing w:lineRule="exact" w:line="200"/>
            </w:pPr>
            <w:r>
              <w:rPr>
                <w:rFonts w:ascii="方正黑体_GBK" w:hAnsi="方正黑体_GBK" w:cs="宋体" w:eastAsia="方正黑体_GBK"/>
                <w:sz w:val="18"/>
                <w:szCs w:val="18"/>
              </w:rPr>
              <w:t>E份额：业绩比较基准为年化2.8%-3.2% 。</w:t>
            </w:r>
          </w:p>
          <w:p>
            <w:pPr>
              <w:pStyle w:val="null10"/>
              <w:spacing w:lineRule="exact" w:line="200"/>
            </w:pPr>
            <w:r>
              <w:rPr>
                <w:rFonts w:ascii="方正黑体_GBK" w:hAnsi="方正黑体_GBK" w:cs="宋体" w:eastAsia="方正黑体_GBK"/>
                <w:sz w:val="18"/>
                <w:szCs w:val="18"/>
              </w:rPr>
              <w:t>F份额：业绩比较基准为年化2.7%-3.1% 。</w:t>
            </w:r>
          </w:p>
          <w:p>
            <w:pPr>
              <w:pStyle w:val="null10"/>
              <w:spacing w:lineRule="exact" w:line="200"/>
            </w:pPr>
            <w:r>
              <w:rPr>
                <w:rFonts w:ascii="方正黑体_GBK" w:hAnsi="方正黑体_GBK" w:cs="宋体" w:eastAsia="方正黑体_GBK"/>
                <w:sz w:val="18"/>
                <w:szCs w:val="18"/>
              </w:rPr>
              <w:t>G份额：业绩比较基准为年化2.75%-3.15% 。</w:t>
            </w:r>
          </w:p>
          <w:p>
            <w:pPr>
              <w:pStyle w:val="null10"/>
              <w:spacing w:lineRule="exact" w:line="200"/>
            </w:pPr>
            <w:r>
              <w:rPr>
                <w:rFonts w:ascii="方正黑体_GBK" w:hAnsi="方正黑体_GBK" w:cs="宋体" w:eastAsia="方正黑体_GBK"/>
                <w:sz w:val="18"/>
                <w:szCs w:val="18"/>
              </w:rPr>
              <w:t>M份额：业绩比较基准为年化2.6%-3% 。</w:t>
            </w:r>
          </w:p>
          <w:p>
            <w:pPr>
              <w:pStyle w:val="null10"/>
              <w:spacing w:lineRule="exact" w:line="200"/>
            </w:pPr>
            <w:r>
              <w:rPr>
                <w:rFonts w:ascii="方正黑体_GBK" w:hAnsi="方正黑体_GBK" w:cs="宋体" w:eastAsia="方正黑体_GBK"/>
                <w:sz w:val="18"/>
                <w:szCs w:val="18"/>
              </w:rPr>
              <w:t>N份额：业绩比较基准为年化2.85%-3.25% 。</w:t>
            </w:r>
          </w:p>
          <w:p>
            <w:pPr>
              <w:pStyle w:val="null10"/>
              <w:spacing w:lineRule="exact" w:line="200"/>
            </w:pPr>
            <w:r>
              <w:rPr>
                <w:rFonts w:ascii="方正黑体_GBK" w:hAnsi="方正黑体_GBK" w:cs="宋体" w:eastAsia="方正黑体_GBK"/>
                <w:sz w:val="18"/>
                <w:szCs w:val="18"/>
              </w:rPr>
              <w:t>Q份额：业绩比较基准为年化2.6%-3% 。</w:t>
            </w:r>
          </w:p>
          <w:p>
            <w:pPr>
              <w:pStyle w:val="null10"/>
              <w:spacing w:lineRule="exact" w:line="200"/>
            </w:pPr>
            <w:r>
              <w:rPr>
                <w:rFonts w:ascii="方正黑体_GBK" w:hAnsi="方正黑体_GBK" w:cs="宋体" w:eastAsia="方正黑体_GBK"/>
                <w:sz w:val="18"/>
                <w:szCs w:val="18"/>
              </w:rPr>
              <w:t>R份额：业绩比较基准为年化2.8%-3.2%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N份额：销售费年化0.05%</w:t>
            </w:r>
          </w:p>
          <w:p>
            <w:pPr>
              <w:pStyle w:val="null10"/>
              <w:spacing w:lineRule="exact" w:line="200"/>
            </w:pPr>
            <w:r>
              <w:rPr>
                <w:rFonts w:ascii="方正黑体_GBK" w:hAnsi="方正黑体_GBK" w:cs="宋体" w:eastAsia="方正黑体_GBK"/>
                <w:sz w:val="18"/>
                <w:b/>
                <w:szCs w:val="18"/>
              </w:rPr>
              <w:t>Q份额：销售费年化0.2%</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M份额：固定管理费年化0.2%</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Q份额：固定管理费年化0.2%</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2.95%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申购/赎回确认日和产品实际到期时，当期产品投资的实际资产组合收益（扣除销售费、固定管理费、托管费等相关费用）超过3.05%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申购/赎回确认日和产品实际到期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嘉兴银行股份有限公司、江苏常熟农村商业银行股份有限公司、江苏苏州农村商业银行股份有限公司、秦皇岛银行股份有限公司、泰安银行股份有限公司、齐鲁银行股份有限公司、贵阳银行股份有限公司、云南红塔银行股份有限公司、中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射阳农村商业银行股份有限公司、江苏句容农村商业银行股份有限公司、廊坊银行股份有限公司、乌鲁木齐银行股份有限公司、河北银行股份有限公司、江苏沛县农村商业银行股份有限公司、潍坊银行股份有限公司、台州银行股份有限公司、江苏仪征农村商业银行股份有限公司、成都银行股份有限公司、江苏沭阳农村商业银行股份有限公司、江苏海安农村商业银行股份有限公司、江苏海门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a42b472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090157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090157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09015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090157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09015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09015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09015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090157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南银理财鼎瑞安稳一年定开2025第26期公募人民币理财产品</w:t>
      </w:r>
      <w:r>
        <w:rPr>
          <w:rFonts w:ascii="方正黑体_GBK" w:eastAsia="方正黑体_GBK" w:hint="eastAsia" w:hAnsi="方正黑体_GBK"/>
          <w:vanish w:val="0"/>
          <w:color w:val="3D3D3D"/>
          <w:kern w:val="0"/>
          <w:sz w:val="15"/>
          <w:szCs w:val="15"/>
        </w:rPr>
        <w:t>。</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090157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090157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090157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090157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def2b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def2b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def2b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def2b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def2b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def2b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090157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090157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090157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def2b2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a42b4721"/>
        <w:keepNext w:val="0"/>
        <w:keepLines w:val="0"/>
        <w:pageBreakBefore w:val="0"/>
        <w:widowControl/>
        <w:suppressLineNumbers w:val="0"/>
        <w:suppressAutoHyphens w:val="0"/>
        <w:spacing w:line="200" w:lineRule="exact"/>
        <w:ind w:firstLineChars="200" w:firstLine="300"/>
        <w:rPr>
          <w:rStyle w:val="9def2b2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a42b472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a42b472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a42b472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a42b472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a42b472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a42b472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a42b4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a42b472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0166893">
    <w:name w:val="Normal6016689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cccc20c">
    <w:name w:val="heading 1ccccc20c"/>
    <w:basedOn w:val="6016689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1b59a30">
    <w:name w:val="heading 2d1b59a30"/>
    <w:basedOn w:val="6016689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5dd5118">
    <w:name w:val="heading 3a5dd5118"/>
    <w:basedOn w:val="6016689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135ce4a">
    <w:name w:val="Default Paragraph Font6135ce4a"/>
  </w:style>
  <w:style xmlns:r="http://schemas.openxmlformats.org/officeDocument/2006/relationships" w:type="paragraph" w:styleId="fc81c1d4">
    <w:name w:val="toc 1fc81c1d4"/>
    <w:basedOn w:val="60166893"/>
    <w:autoRedefine/>
    <w:next w:val="0"/>
  </w:style>
  <w:style xmlns:r="http://schemas.openxmlformats.org/officeDocument/2006/relationships" w:type="paragraph" w:styleId="ced9cdb7">
    <w:name w:val="toc 2ced9cdb7"/>
    <w:basedOn w:val="60166893"/>
    <w:autoRedefine/>
    <w:next w:val="0"/>
    <w:pPr>
      <w:ind w:left="420"/>
    </w:pPr>
  </w:style>
  <w:style xmlns:r="http://schemas.openxmlformats.org/officeDocument/2006/relationships" w:type="paragraph" w:styleId="2ec2b25e">
    <w:name w:val="toc 32ec2b25e"/>
    <w:basedOn w:val="60166893"/>
    <w:autoRedefine/>
    <w:next w:val="0"/>
    <w:pPr>
      <w:ind w:left="840"/>
    </w:pPr>
  </w:style>
  <w:style xmlns:r="http://schemas.openxmlformats.org/officeDocument/2006/relationships" w:type="paragraph" w:styleId="895ef255">
    <w:name w:val="toc 4895ef255"/>
    <w:basedOn w:val="60166893"/>
    <w:autoRedefine/>
    <w:next w:val="0"/>
    <w:pPr>
      <w:ind w:left="1260"/>
    </w:pPr>
  </w:style>
  <w:style xmlns:r="http://schemas.openxmlformats.org/officeDocument/2006/relationships" w:type="paragraph" w:styleId="75612746">
    <w:name w:val="toc 575612746"/>
    <w:basedOn w:val="60166893"/>
    <w:autoRedefine/>
    <w:next w:val="0"/>
    <w:pPr>
      <w:ind w:left="1680"/>
    </w:pPr>
  </w:style>
  <w:style xmlns:r="http://schemas.openxmlformats.org/officeDocument/2006/relationships" w:type="paragraph" w:styleId="1223f2a1">
    <w:name w:val="header1223f2a1"/>
    <w:basedOn w:val="6016689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4dcf206">
    <w:name w:val="footerb4dcf206"/>
    <w:basedOn w:val="60166893"/>
    <w:pPr>
      <w:tabs>
        <w:tab w:val="center" w:pos="4153"/>
        <w:tab w:val="right" w:pos="8307"/>
      </w:tabs>
      <w:adjustRightInd/>
      <w:snapToGrid w:val="0"/>
      <w:contextualSpacing w:val="0"/>
      <w:jc w:val="left"/>
    </w:pPr>
    <w:rPr>
      <w:sz w:val="18"/>
    </w:rPr>
  </w:style>
  <w:style xmlns:r="http://schemas.openxmlformats.org/officeDocument/2006/relationships" w:type="character" w:styleId="11fa690e">
    <w:name w:val="Strong11fa690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42b4721">
    <w:name w:val="Normala42b472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8eefcb3">
    <w:name w:val="heading 198eefcb3"/>
    <w:basedOn w:val="a42b472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bbce3a4">
    <w:name w:val="heading 21bbce3a4"/>
    <w:basedOn w:val="a42b472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f67bf47">
    <w:name w:val="heading 38f67bf47"/>
    <w:basedOn w:val="a42b472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2b04c5">
    <w:name w:val="Default Paragraph Fonte22b04c5"/>
  </w:style>
  <w:style xmlns:r="http://schemas.openxmlformats.org/officeDocument/2006/relationships" w:type="paragraph" w:styleId="9e4aeeea">
    <w:name w:val="Normal Indent9e4aeeea"/>
    <w:basedOn w:val="a42b4721"/>
    <w:pPr>
      <w:ind w:firstLineChars="200" w:firstLine="200"/>
    </w:pPr>
  </w:style>
  <w:style xmlns:r="http://schemas.openxmlformats.org/officeDocument/2006/relationships" w:type="paragraph" w:styleId="90fe7aa1">
    <w:name w:val="toc 590fe7aa1"/>
    <w:basedOn w:val="a42b4721"/>
    <w:next w:val="0"/>
    <w:pPr>
      <w:ind w:left="1680"/>
    </w:pPr>
  </w:style>
  <w:style xmlns:r="http://schemas.openxmlformats.org/officeDocument/2006/relationships" w:type="paragraph" w:styleId="2b0f8674">
    <w:name w:val="toc 32b0f8674"/>
    <w:basedOn w:val="a42b4721"/>
    <w:next w:val="0"/>
    <w:pPr>
      <w:ind w:left="840"/>
    </w:pPr>
  </w:style>
  <w:style xmlns:r="http://schemas.openxmlformats.org/officeDocument/2006/relationships" w:type="paragraph" w:styleId="7cb572ee">
    <w:name w:val="footer7cb572ee"/>
    <w:basedOn w:val="a42b4721"/>
    <w:pPr>
      <w:tabs>
        <w:tab w:val="center" w:pos="4153"/>
        <w:tab w:val="right" w:pos="8307"/>
      </w:tabs>
      <w:adjustRightInd/>
      <w:snapToGrid w:val="0"/>
      <w:contextualSpacing w:val="0"/>
      <w:jc w:val="left"/>
    </w:pPr>
    <w:rPr>
      <w:sz w:val="18"/>
    </w:rPr>
  </w:style>
  <w:style xmlns:r="http://schemas.openxmlformats.org/officeDocument/2006/relationships" w:type="paragraph" w:styleId="6961107b">
    <w:name w:val="header6961107b"/>
    <w:basedOn w:val="a42b472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eb0a9d2">
    <w:name w:val="toc 1eeb0a9d2"/>
    <w:basedOn w:val="a42b4721"/>
    <w:next w:val="0"/>
  </w:style>
  <w:style xmlns:r="http://schemas.openxmlformats.org/officeDocument/2006/relationships" w:type="paragraph" w:styleId="65f1ca88">
    <w:name w:val="toc 465f1ca88"/>
    <w:basedOn w:val="a42b4721"/>
    <w:next w:val="0"/>
    <w:pPr>
      <w:ind w:left="1260"/>
    </w:pPr>
  </w:style>
  <w:style xmlns:r="http://schemas.openxmlformats.org/officeDocument/2006/relationships" w:type="paragraph" w:styleId="ebf418bf">
    <w:name w:val="toc 2ebf418bf"/>
    <w:basedOn w:val="a42b4721"/>
    <w:next w:val="0"/>
    <w:pPr>
      <w:ind w:left="420"/>
    </w:pPr>
  </w:style>
  <w:style xmlns:r="http://schemas.openxmlformats.org/officeDocument/2006/relationships" w:type="paragraph" w:styleId="080121cb">
    <w:name w:val="Normal (Web)080121c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0901577">
    <w:name w:val="Normal009015770090157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609c627">
    <w:name w:val="heading 10609c6270609c627"/>
    <w:basedOn w:val="0090157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6857bc">
    <w:name w:val="heading 2de6857bcde6857bc"/>
    <w:basedOn w:val="0090157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2a21235">
    <w:name w:val="heading 332a2123532a21235"/>
    <w:basedOn w:val="0090157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dfb61f6">
    <w:name w:val="Default Paragraph Fontfdfb61f6fdfb61f6"/>
  </w:style>
  <w:style xmlns:r="http://schemas.openxmlformats.org/officeDocument/2006/relationships" w:type="paragraph" w:customStyle="1" w:styleId="52a2b859">
    <w:name w:val="引文目录152a2b85952a2b859"/>
    <w:basedOn w:val="00901577"/>
    <w:next w:val="0"/>
    <w:pPr>
      <w:ind w:leftChars="200" w:left="200"/>
    </w:pPr>
  </w:style>
  <w:style xmlns:r="http://schemas.openxmlformats.org/officeDocument/2006/relationships" w:type="paragraph" w:styleId="98f74265">
    <w:name w:val="toc 598f7426598f74265"/>
    <w:basedOn w:val="00901577"/>
    <w:next w:val="0"/>
    <w:pPr>
      <w:ind w:left="1680"/>
    </w:pPr>
  </w:style>
  <w:style xmlns:r="http://schemas.openxmlformats.org/officeDocument/2006/relationships" w:type="paragraph" w:styleId="c8f0d88d">
    <w:name w:val="toc 3c8f0d88dc8f0d88d"/>
    <w:basedOn w:val="00901577"/>
    <w:next w:val="0"/>
    <w:pPr>
      <w:ind w:left="840"/>
    </w:pPr>
  </w:style>
  <w:style xmlns:r="http://schemas.openxmlformats.org/officeDocument/2006/relationships" w:type="paragraph" w:styleId="afa374f3">
    <w:name w:val="footerafa374f3afa374f3"/>
    <w:basedOn w:val="00901577"/>
    <w:pPr>
      <w:tabs>
        <w:tab w:val="center" w:pos="4153"/>
        <w:tab w:val="right" w:pos="8307"/>
      </w:tabs>
      <w:adjustRightInd/>
      <w:snapToGrid w:val="0"/>
      <w:contextualSpacing w:val="0"/>
      <w:jc w:val="left"/>
    </w:pPr>
    <w:rPr>
      <w:sz w:val="18"/>
    </w:rPr>
  </w:style>
  <w:style xmlns:r="http://schemas.openxmlformats.org/officeDocument/2006/relationships" w:type="paragraph" w:styleId="cb8e9e3b">
    <w:name w:val="headercb8e9e3bcb8e9e3b"/>
    <w:basedOn w:val="0090157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77d8be8">
    <w:name w:val="toc 1777d8be8777d8be8"/>
    <w:basedOn w:val="00901577"/>
    <w:next w:val="0"/>
  </w:style>
  <w:style xmlns:r="http://schemas.openxmlformats.org/officeDocument/2006/relationships" w:type="paragraph" w:styleId="d44c086a">
    <w:name w:val="toc 4d44c086ad44c086a"/>
    <w:basedOn w:val="00901577"/>
    <w:next w:val="0"/>
    <w:pPr>
      <w:ind w:left="1260"/>
    </w:pPr>
  </w:style>
  <w:style xmlns:r="http://schemas.openxmlformats.org/officeDocument/2006/relationships" w:type="paragraph" w:styleId="01fe0119">
    <w:name w:val="toc 201fe011901fe0119"/>
    <w:basedOn w:val="00901577"/>
    <w:next w:val="0"/>
    <w:pPr>
      <w:ind w:left="420"/>
    </w:pPr>
  </w:style>
  <w:style xmlns:r="http://schemas.openxmlformats.org/officeDocument/2006/relationships" w:type="paragraph" w:customStyle="1" w:styleId="9def2b22">
    <w:name w:val="列出段落19def2b229def2b2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